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12 270 / 191 vom 9. Juli 2012</w:t>
      </w:r>
    </w:p>
    <w:p>
      <w:r>
        <w:t>BL Gerichte, 2012-07-09, DE</w:t>
      </w:r>
    </w:p>
    <w:p>
      <w:r>
        <w:rPr>
          <w:b/>
        </w:rPr>
        <w:t xml:space="preserve">Quelle: </w:t>
      </w:r>
      <w:r>
        <w:t>https://mcp.opencaselaw.ch/entscheid/bl_gerichte_720 12 270 _ 191</w:t>
      </w:r>
    </w:p>
    <w:p>
      <w:r>
        <w:t>FR: BL_GERICHTE 720 12 270 / 191 du 9 juillet 2012</w:t>
      </w:r>
    </w:p>
    <w:p>
      <w:r>
        <w:t>IT: BL_GERICHTE 720 12 270 / 191 del 9 luglio 2012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vom 9. Juli 2012 aufgehoben und dem Beschwerdeführer ab dem 1. Mai 2010 eine Viertelsrente zugesprochen wird.</w:t>
      </w:r>
    </w:p>
    <w:p>
      <w:r>
        <w:rPr>
          <w:b/>
        </w:rPr>
        <w:t>E. 2</w:t>
      </w:r>
    </w:p>
    <w:p>
      <w:r>
        <w:t>Es werden keine Verfahrenskosten erhoben. Der vom Beschwerdeführer geleistete Kostenvorschuss in der Höhe von Fr. 600.-- wird ihm zurückerstattet.</w:t>
      </w:r>
    </w:p>
    <w:p>
      <w:r>
        <w:rPr>
          <w:b/>
        </w:rPr>
        <w:t>E. 3</w:t>
      </w:r>
    </w:p>
    <w:p>
      <w:r>
        <w:t>Die Kosten für die gerichtliche Begutachtung in der Höhe von Fr. 1'780.-- werden der Beschwerdegegnerin auferlegt.</w:t>
      </w:r>
    </w:p>
    <w:p>
      <w:r>
        <w:rPr>
          <w:b/>
        </w:rPr>
        <w:t>E. 4</w:t>
      </w:r>
    </w:p>
    <w:p>
      <w:r>
        <w:t>Die Beschwerdegegnerin hat dem Beschwerdeführer eine Parteientschädigung in der Höhe von Fr. 5'270.90 (inkl. Auslagen und 8 % Mehrwertsteuer) zu bezahlen. Gegen diesen Entscheid wurde am 3. Januar 2014 vom Beschwerdeführer beim Bundesgericht (siehe nach Vorliegen des Urteils. Verfahren-Nr. 8C_1/2014 )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